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
    </w:p>
    <w:p>
      <w:pPr>
        <w:pStyle w:val="Normal"/>
        <w:widowControl/>
        <w:jc w:val="center"/>
        <w:rPr>
          <w:b/>
          <w:b/>
          <w:sz w:val="24"/>
          <w:szCs w:val="24"/>
          <w:lang w:val="en-US"/>
        </w:rPr>
      </w:pPr>
      <w:r>
        <w:rPr>
          <w:b/>
          <w:sz w:val="24"/>
          <w:szCs w:val="24"/>
          <w:lang w:val="en-US"/>
        </w:rPr>
        <w:t xml:space="preserve"> </w:t>
      </w:r>
      <w:r>
        <w:rPr>
          <w:b/>
          <w:sz w:val="24"/>
          <w:szCs w:val="24"/>
          <w:lang w:val="en-US"/>
        </w:rPr>
        <w:t>Exemplary questions of credit for "Pathophysiology, clinical pathophysiology".</w:t>
      </w:r>
    </w:p>
    <w:p>
      <w:pPr>
        <w:pStyle w:val="Normal"/>
        <w:ind w:left="567" w:hanging="0"/>
        <w:jc w:val="both"/>
        <w:rPr>
          <w:b/>
          <w:b/>
          <w:sz w:val="24"/>
          <w:szCs w:val="24"/>
          <w:lang w:val="en-US"/>
        </w:rPr>
      </w:pPr>
      <w:r>
        <w:rPr>
          <w:b/>
          <w:sz w:val="24"/>
          <w:szCs w:val="24"/>
          <w:lang w:val="en-US"/>
        </w:rPr>
      </w:r>
    </w:p>
    <w:tbl>
      <w:tblPr>
        <w:tblW w:w="9474" w:type="dxa"/>
        <w:jc w:val="left"/>
        <w:tblInd w:w="-5" w:type="dxa"/>
        <w:tblCellMar>
          <w:top w:w="0" w:type="dxa"/>
          <w:left w:w="108" w:type="dxa"/>
          <w:bottom w:w="0" w:type="dxa"/>
          <w:right w:w="108" w:type="dxa"/>
        </w:tblCellMar>
        <w:tblLook w:firstRow="0" w:noVBand="0" w:lastRow="0" w:firstColumn="0" w:lastColumn="0" w:noHBand="0" w:val="0000"/>
      </w:tblPr>
      <w:tblGrid>
        <w:gridCol w:w="850"/>
        <w:gridCol w:w="8623"/>
      </w:tblGrid>
      <w:tr>
        <w:trPr/>
        <w:tc>
          <w:tcPr>
            <w:tcW w:w="850" w:type="dxa"/>
            <w:tcBorders/>
            <w:shd w:color="auto" w:fill="auto" w:val="clear"/>
          </w:tcPr>
          <w:p>
            <w:pPr>
              <w:pStyle w:val="Normal"/>
              <w:numPr>
                <w:ilvl w:val="0"/>
                <w:numId w:val="1"/>
              </w:numPr>
              <w:snapToGrid w:val="false"/>
              <w:spacing w:lineRule="auto" w:line="276"/>
              <w:jc w:val="both"/>
              <w:rPr>
                <w:sz w:val="24"/>
                <w:szCs w:val="24"/>
              </w:rPr>
            </w:pPr>
            <w:r>
              <w:rPr>
                <w:sz w:val="24"/>
                <w:szCs w:val="24"/>
              </w:rPr>
            </w:r>
          </w:p>
        </w:tc>
        <w:tc>
          <w:tcPr>
            <w:tcW w:w="8623" w:type="dxa"/>
            <w:tcBorders/>
            <w:shd w:color="auto" w:fill="auto" w:val="clear"/>
          </w:tcPr>
          <w:p>
            <w:pPr>
              <w:pStyle w:val="Normal"/>
              <w:spacing w:lineRule="auto" w:line="276"/>
              <w:jc w:val="both"/>
              <w:rPr>
                <w:lang w:val="en-US"/>
              </w:rPr>
            </w:pPr>
            <w:r>
              <w:rPr>
                <w:rFonts w:eastAsia="Calibri"/>
                <w:sz w:val="24"/>
                <w:szCs w:val="24"/>
                <w:lang w:val="en-US"/>
              </w:rPr>
              <w:t>Concepts of «health» and</w:t>
            </w:r>
            <w:r>
              <w:rPr>
                <w:sz w:val="24"/>
                <w:szCs w:val="24"/>
                <w:lang w:val="en-US"/>
              </w:rPr>
              <w:t xml:space="preserve"> «disease». Disease</w:t>
            </w:r>
            <w:r>
              <w:rPr>
                <w:rFonts w:eastAsia="Calibri"/>
                <w:sz w:val="24"/>
                <w:szCs w:val="24"/>
                <w:lang w:val="en-US"/>
              </w:rPr>
              <w:t xml:space="preserve"> criteria. Concepts of pathological process, pathological state, </w:t>
            </w:r>
            <w:r>
              <w:rPr>
                <w:sz w:val="24"/>
                <w:szCs w:val="24"/>
                <w:lang w:val="en-US"/>
              </w:rPr>
              <w:t>typical pathological processes, examples.</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pPr>
            <w:r>
              <w:rPr>
                <w:sz w:val="24"/>
                <w:szCs w:val="24"/>
                <w:lang w:val="en-US"/>
              </w:rPr>
              <w:t>The cause-and-effect relationship in the pathogenesis of the disease. Local and general reactions to injury, their relationship. Leading links of the pathogenesis, the vicious circle in the pathogenesis of the disease, examples.</w:t>
            </w:r>
            <w:r>
              <w:rPr>
                <w:lang w:val="en-US"/>
              </w:rPr>
              <w:t xml:space="preserve"> </w:t>
            </w:r>
            <w:r>
              <w:rPr>
                <w:sz w:val="24"/>
                <w:szCs w:val="24"/>
                <w:lang w:val="en-US"/>
              </w:rPr>
              <w:t>Specific and nonspecific in the development of the disease.</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lang w:val="en-US"/>
              </w:rPr>
            </w:pPr>
            <w:r>
              <w:rPr>
                <w:sz w:val="24"/>
                <w:szCs w:val="24"/>
                <w:lang w:val="en-US"/>
              </w:rPr>
              <w:t>Injury as the initial link of the pathogenesis.</w:t>
            </w:r>
            <w:r>
              <w:rPr>
                <w:lang w:val="en-US"/>
              </w:rPr>
              <w:t xml:space="preserve"> </w:t>
            </w:r>
            <w:r>
              <w:rPr>
                <w:sz w:val="24"/>
                <w:szCs w:val="24"/>
                <w:lang w:val="en-US"/>
              </w:rPr>
              <w:t>Manifestations of damage at different levels of the body's integration.</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lang w:val="en-US"/>
              </w:rPr>
            </w:pPr>
            <w:r>
              <w:rPr>
                <w:rFonts w:eastAsia="Calibri"/>
                <w:sz w:val="24"/>
                <w:szCs w:val="24"/>
                <w:lang w:val="en-US"/>
              </w:rPr>
              <w:t xml:space="preserve">The significance of reasons and conditions of disease development. The notion of </w:t>
            </w:r>
            <w:r>
              <w:rPr>
                <w:sz w:val="24"/>
                <w:szCs w:val="24"/>
                <w:lang w:val="en-US"/>
              </w:rPr>
              <w:t>environmental and internal causes and factors of risk of disease.</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pPr>
            <w:r>
              <w:rPr>
                <w:rFonts w:eastAsia="Calibri"/>
                <w:sz w:val="24"/>
                <w:szCs w:val="24"/>
                <w:lang w:val="en-US"/>
              </w:rPr>
              <w:t>Regularities in the formation of reactivity in  phylo- and ontogenesis. Characterization of the notions «reactivity» and «resistance», their relationship.</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lang w:val="en-US"/>
              </w:rPr>
            </w:pPr>
            <w:r>
              <w:rPr>
                <w:rFonts w:eastAsia="Calibri"/>
                <w:sz w:val="24"/>
                <w:szCs w:val="24"/>
                <w:lang w:val="en-US"/>
              </w:rPr>
              <w:t xml:space="preserve">The structure </w:t>
            </w:r>
            <w:r>
              <w:rPr>
                <w:lang w:val="en-US"/>
              </w:rPr>
              <w:t xml:space="preserve"> </w:t>
            </w:r>
            <w:r>
              <w:rPr>
                <w:rFonts w:eastAsia="Calibri"/>
                <w:sz w:val="24"/>
                <w:szCs w:val="24"/>
                <w:lang w:val="en-US"/>
              </w:rPr>
              <w:t xml:space="preserve">and functions of  microcirculatory bed. </w:t>
            </w:r>
            <w:r>
              <w:rPr>
                <w:sz w:val="24"/>
                <w:szCs w:val="24"/>
                <w:lang w:val="en-US"/>
              </w:rPr>
              <w:t>Mechanisms of neuro-humoral r</w:t>
            </w:r>
            <w:r>
              <w:rPr>
                <w:rFonts w:eastAsia="Calibri"/>
                <w:sz w:val="24"/>
                <w:szCs w:val="24"/>
                <w:lang w:val="en-US"/>
              </w:rPr>
              <w:t>egulation of  microcirculation.</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pPr>
            <w:r>
              <w:rPr>
                <w:sz w:val="24"/>
                <w:szCs w:val="24"/>
                <w:lang w:val="en-US"/>
              </w:rPr>
              <w:t xml:space="preserve">Intravascular disorders of blood microcirculation, etiology, pathogenesis. </w:t>
            </w:r>
            <w:r>
              <w:rPr>
                <w:rFonts w:eastAsia="Calibri"/>
                <w:sz w:val="24"/>
                <w:szCs w:val="24"/>
                <w:lang w:val="en-US"/>
              </w:rPr>
              <w:t>«Sludge»</w:t>
            </w:r>
            <w:r>
              <w:rPr>
                <w:color w:val="000000"/>
                <w:sz w:val="24"/>
                <w:szCs w:val="24"/>
                <w:shd w:fill="F5F5F5" w:val="clear"/>
                <w:lang w:val="en-US"/>
              </w:rPr>
              <w:t xml:space="preserve"> -phenomenon</w:t>
            </w:r>
            <w:r>
              <w:rPr>
                <w:rFonts w:eastAsia="Calibri"/>
                <w:sz w:val="24"/>
                <w:szCs w:val="24"/>
                <w:lang w:val="en-US"/>
              </w:rPr>
              <w:t>.</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pPr>
            <w:r>
              <w:rPr>
                <w:sz w:val="24"/>
                <w:szCs w:val="24"/>
                <w:lang w:val="en-US"/>
              </w:rPr>
              <w:t xml:space="preserve">Transmural and extravascular disorders of blood microcirculation, etiology, pathogenesis, clinical </w:t>
            </w:r>
            <w:r>
              <w:rPr>
                <w:rFonts w:eastAsia="Calibri"/>
                <w:sz w:val="24"/>
                <w:szCs w:val="24"/>
                <w:lang w:val="en-US"/>
              </w:rPr>
              <w:t>manifestations and consequences.</w:t>
            </w:r>
            <w:r>
              <w:rPr>
                <w:lang w:val="en-US"/>
              </w:rPr>
              <w:t xml:space="preserve"> </w:t>
            </w:r>
            <w:r>
              <w:rPr>
                <w:rFonts w:eastAsia="Calibri"/>
                <w:sz w:val="24"/>
                <w:szCs w:val="24"/>
                <w:lang w:val="en-US"/>
              </w:rPr>
              <w:t>Stasis, its types, mechanisms of development, consequences.</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lang w:val="en-US"/>
              </w:rPr>
            </w:pPr>
            <w:r>
              <w:rPr>
                <w:rFonts w:eastAsia="Calibri"/>
                <w:sz w:val="24"/>
                <w:szCs w:val="24"/>
                <w:lang w:val="en-US"/>
              </w:rPr>
              <w:t>A</w:t>
            </w:r>
            <w:r>
              <w:rPr>
                <w:sz w:val="24"/>
                <w:szCs w:val="24"/>
                <w:lang w:val="en-US"/>
              </w:rPr>
              <w:t xml:space="preserve">rterial hyperemia, its types, etiology, pathogenesis, disorders of microcirculation and tissue metabolism, symptoms and significance for the </w:t>
            </w:r>
            <w:r>
              <w:rPr>
                <w:rFonts w:eastAsia="Calibri"/>
                <w:sz w:val="24"/>
                <w:szCs w:val="24"/>
                <w:lang w:val="en-US"/>
              </w:rPr>
              <w:t>organism.</w:t>
            </w:r>
            <w:r>
              <w:rPr>
                <w:sz w:val="24"/>
                <w:szCs w:val="24"/>
                <w:lang w:val="en-US"/>
              </w:rPr>
              <w:t xml:space="preserve"> </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lang w:val="en-US"/>
              </w:rPr>
            </w:pPr>
            <w:r>
              <w:rPr>
                <w:sz w:val="24"/>
                <w:szCs w:val="24"/>
                <w:lang w:val="en-US"/>
              </w:rPr>
              <w:t>Venous hyperemia, its causes,</w:t>
            </w:r>
            <w:r>
              <w:rPr>
                <w:rFonts w:eastAsia="Calibri"/>
                <w:sz w:val="24"/>
                <w:szCs w:val="24"/>
                <w:lang w:val="en-US"/>
              </w:rPr>
              <w:t xml:space="preserve"> mechanisms of development</w:t>
            </w:r>
            <w:r>
              <w:rPr>
                <w:sz w:val="24"/>
                <w:szCs w:val="24"/>
                <w:lang w:val="en-US"/>
              </w:rPr>
              <w:t xml:space="preserve">, </w:t>
            </w:r>
          </w:p>
          <w:p>
            <w:pPr>
              <w:pStyle w:val="Normal"/>
              <w:spacing w:lineRule="auto" w:line="276"/>
              <w:jc w:val="both"/>
              <w:rPr>
                <w:lang w:val="en-US"/>
              </w:rPr>
            </w:pPr>
            <w:r>
              <w:rPr>
                <w:sz w:val="24"/>
                <w:szCs w:val="24"/>
                <w:lang w:val="en-US"/>
              </w:rPr>
              <w:t xml:space="preserve">disorders of microcirculation and tissue metabolism, symptoms and significance for the </w:t>
            </w:r>
            <w:r>
              <w:rPr>
                <w:rFonts w:eastAsia="Calibri"/>
                <w:sz w:val="24"/>
                <w:szCs w:val="24"/>
                <w:lang w:val="en-US"/>
              </w:rPr>
              <w:t>organism.</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Default"/>
              <w:spacing w:lineRule="auto" w:line="276"/>
              <w:jc w:val="both"/>
              <w:rPr/>
            </w:pPr>
            <w:r>
              <w:rPr>
                <w:lang w:val="en-US"/>
              </w:rPr>
              <w:t>Ischemia, its types, etiology, pathogenesis, disorders of microcirculation and tissue metabolism, symptoms, compensation mechanisms, consequences. Factors that influence on the consequences of ischemia.</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lang w:val="en-US"/>
              </w:rPr>
            </w:pPr>
            <w:r>
              <w:rPr>
                <w:rFonts w:eastAsia="Calibri"/>
                <w:sz w:val="24"/>
                <w:szCs w:val="24"/>
                <w:lang w:val="en-US"/>
              </w:rPr>
              <w:t xml:space="preserve">Embolism, </w:t>
            </w:r>
            <w:r>
              <w:rPr>
                <w:sz w:val="24"/>
                <w:szCs w:val="24"/>
                <w:lang w:val="en-US"/>
              </w:rPr>
              <w:t xml:space="preserve">its types. </w:t>
            </w:r>
            <w:r>
              <w:rPr>
                <w:rFonts w:eastAsia="Calibri"/>
                <w:sz w:val="24"/>
                <w:szCs w:val="24"/>
                <w:lang w:val="en-US"/>
              </w:rPr>
              <w:t>The patterns of emboli travel. Classification of embolism, embolism of vessels of large and small circles of blood circulation, embolism of portal vein, causes, consequences.</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lang w:val="en-US"/>
              </w:rPr>
            </w:pPr>
            <w:r>
              <w:rPr>
                <w:bCs/>
                <w:sz w:val="24"/>
                <w:szCs w:val="24"/>
                <w:shd w:fill="FFFFFF" w:val="clear"/>
                <w:lang w:val="en-US"/>
              </w:rPr>
              <w:t>The</w:t>
            </w:r>
            <w:r>
              <w:rPr>
                <w:rStyle w:val="Appleconvertedspace"/>
                <w:sz w:val="24"/>
                <w:szCs w:val="24"/>
                <w:shd w:fill="FFFFFF" w:val="clear"/>
                <w:lang w:val="en-US"/>
              </w:rPr>
              <w:t> </w:t>
            </w:r>
            <w:r>
              <w:rPr>
                <w:bCs/>
                <w:sz w:val="24"/>
                <w:szCs w:val="24"/>
                <w:shd w:fill="FFFFFF" w:val="clear"/>
                <w:lang w:val="en-US"/>
              </w:rPr>
              <w:t>content</w:t>
            </w:r>
            <w:r>
              <w:rPr>
                <w:rStyle w:val="Appleconvertedspace"/>
                <w:sz w:val="24"/>
                <w:szCs w:val="24"/>
                <w:shd w:fill="FFFFFF" w:val="clear"/>
                <w:lang w:val="en-US"/>
              </w:rPr>
              <w:t> </w:t>
            </w:r>
            <w:r>
              <w:rPr>
                <w:bCs/>
                <w:sz w:val="24"/>
                <w:szCs w:val="24"/>
                <w:shd w:fill="FFFFFF" w:val="clear"/>
                <w:lang w:val="en-US"/>
              </w:rPr>
              <w:t>and</w:t>
            </w:r>
            <w:r>
              <w:rPr>
                <w:rStyle w:val="Appleconvertedspace"/>
                <w:sz w:val="24"/>
                <w:szCs w:val="24"/>
                <w:shd w:fill="FFFFFF" w:val="clear"/>
                <w:lang w:val="en-US"/>
              </w:rPr>
              <w:t> </w:t>
            </w:r>
            <w:r>
              <w:rPr>
                <w:bCs/>
                <w:sz w:val="24"/>
                <w:szCs w:val="24"/>
                <w:shd w:fill="FFFFFF" w:val="clear"/>
                <w:lang w:val="en-US"/>
              </w:rPr>
              <w:t>distribution</w:t>
            </w:r>
            <w:r>
              <w:rPr>
                <w:rStyle w:val="Appleconvertedspace"/>
                <w:sz w:val="24"/>
                <w:szCs w:val="24"/>
                <w:shd w:fill="FFFFFF" w:val="clear"/>
                <w:lang w:val="en-US"/>
              </w:rPr>
              <w:t> </w:t>
            </w:r>
            <w:r>
              <w:rPr>
                <w:bCs/>
                <w:sz w:val="24"/>
                <w:szCs w:val="24"/>
                <w:shd w:fill="FFFFFF" w:val="clear"/>
                <w:lang w:val="en-US"/>
              </w:rPr>
              <w:t>of</w:t>
            </w:r>
            <w:r>
              <w:rPr>
                <w:rStyle w:val="Appleconvertedspace"/>
                <w:sz w:val="24"/>
                <w:szCs w:val="24"/>
                <w:shd w:fill="FFFFFF" w:val="clear"/>
                <w:lang w:val="en-US"/>
              </w:rPr>
              <w:t> </w:t>
            </w:r>
            <w:r>
              <w:rPr>
                <w:bCs/>
                <w:sz w:val="24"/>
                <w:szCs w:val="24"/>
                <w:shd w:fill="FFFFFF" w:val="clear"/>
                <w:lang w:val="en-US"/>
              </w:rPr>
              <w:t>water</w:t>
            </w:r>
            <w:r>
              <w:rPr>
                <w:rStyle w:val="Appleconvertedspace"/>
                <w:sz w:val="24"/>
                <w:szCs w:val="24"/>
                <w:shd w:fill="FFFFFF" w:val="clear"/>
                <w:lang w:val="en-US"/>
              </w:rPr>
              <w:t> </w:t>
            </w:r>
            <w:r>
              <w:rPr>
                <w:bCs/>
                <w:sz w:val="24"/>
                <w:szCs w:val="24"/>
                <w:shd w:fill="FFFFFF" w:val="clear"/>
                <w:lang w:val="en-US"/>
              </w:rPr>
              <w:t>in</w:t>
            </w:r>
            <w:r>
              <w:rPr>
                <w:rStyle w:val="Appleconvertedspace"/>
                <w:sz w:val="24"/>
                <w:szCs w:val="24"/>
                <w:shd w:fill="FFFFFF" w:val="clear"/>
                <w:lang w:val="en-US"/>
              </w:rPr>
              <w:t> </w:t>
            </w:r>
            <w:r>
              <w:rPr>
                <w:bCs/>
                <w:sz w:val="24"/>
                <w:szCs w:val="24"/>
                <w:shd w:fill="FFFFFF" w:val="clear"/>
                <w:lang w:val="en-US"/>
              </w:rPr>
              <w:t>the</w:t>
            </w:r>
            <w:r>
              <w:rPr>
                <w:rStyle w:val="Appleconvertedspace"/>
                <w:sz w:val="24"/>
                <w:szCs w:val="24"/>
                <w:shd w:fill="FFFFFF" w:val="clear"/>
                <w:lang w:val="en-US"/>
              </w:rPr>
              <w:t> </w:t>
            </w:r>
            <w:r>
              <w:rPr>
                <w:bCs/>
                <w:sz w:val="24"/>
                <w:szCs w:val="24"/>
                <w:shd w:fill="FFFFFF" w:val="clear"/>
                <w:lang w:val="en-US"/>
              </w:rPr>
              <w:t>organism</w:t>
            </w:r>
            <w:r>
              <w:rPr>
                <w:sz w:val="24"/>
                <w:szCs w:val="24"/>
                <w:shd w:fill="FFFFFF" w:val="clear"/>
                <w:lang w:val="en-US"/>
              </w:rPr>
              <w:t>.</w:t>
            </w:r>
            <w:r>
              <w:rPr>
                <w:sz w:val="24"/>
                <w:szCs w:val="24"/>
                <w:lang w:val="en-US"/>
              </w:rPr>
              <w:t xml:space="preserve"> </w:t>
            </w:r>
            <w:r>
              <w:rPr>
                <w:sz w:val="24"/>
                <w:szCs w:val="24"/>
                <w:shd w:fill="FFFFFF" w:val="clear"/>
                <w:lang w:val="en-US"/>
              </w:rPr>
              <w:t xml:space="preserve">The laws of </w:t>
            </w:r>
            <w:r>
              <w:rPr>
                <w:bCs/>
                <w:color w:val="000000"/>
                <w:sz w:val="24"/>
                <w:szCs w:val="24"/>
                <w:lang w:val="en-US"/>
              </w:rPr>
              <w:t xml:space="preserve">electroneutrality </w:t>
            </w:r>
            <w:r>
              <w:rPr>
                <w:sz w:val="24"/>
                <w:szCs w:val="24"/>
                <w:shd w:fill="FFFFFF" w:val="clear"/>
                <w:lang w:val="en-US"/>
              </w:rPr>
              <w:t>and isoosmolarity. Neurohormonal regulation of water-electrolyte metabolism and the mechanisms of its violation.</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lang w:val="en-US"/>
              </w:rPr>
            </w:pPr>
            <w:r>
              <w:rPr>
                <w:rFonts w:eastAsia="Calibri"/>
                <w:sz w:val="24"/>
                <w:szCs w:val="24"/>
                <w:lang w:val="en-US"/>
              </w:rPr>
              <w:t>Pathogenetic factors of edema development</w:t>
            </w:r>
            <w:r>
              <w:rPr>
                <w:sz w:val="24"/>
                <w:szCs w:val="24"/>
                <w:lang w:val="en-US"/>
              </w:rPr>
              <w:t xml:space="preserve">, its </w:t>
            </w:r>
            <w:r>
              <w:rPr>
                <w:rFonts w:eastAsia="Calibri"/>
                <w:sz w:val="24"/>
                <w:szCs w:val="24"/>
                <w:lang w:val="en-US"/>
              </w:rPr>
              <w:t>classification.</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pPr>
            <w:r>
              <w:rPr>
                <w:sz w:val="24"/>
                <w:szCs w:val="24"/>
                <w:lang w:val="en-US"/>
              </w:rPr>
              <w:t>The pathogenesis of cardiac, renal, inflammatory, toxic, allergic, starvation types of edema. Local and systemic disturbances in edema.</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lang w:val="en-US"/>
              </w:rPr>
            </w:pPr>
            <w:r>
              <w:rPr>
                <w:rFonts w:eastAsia="Calibri"/>
                <w:sz w:val="24"/>
                <w:szCs w:val="24"/>
                <w:lang w:val="en-US"/>
              </w:rPr>
              <w:t>Mechanisms of disturbance of Na, K, Ca metabolism regulation.</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lang w:val="en-US"/>
              </w:rPr>
            </w:pPr>
            <w:r>
              <w:rPr>
                <w:sz w:val="24"/>
                <w:szCs w:val="24"/>
                <w:lang w:val="en-US"/>
              </w:rPr>
              <w:t>Hyperhydration syndrome: types, causes, pathogenetic features, symptoms, consequences, principles of correction.</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lang w:val="en-US"/>
              </w:rPr>
            </w:pPr>
            <w:r>
              <w:rPr>
                <w:sz w:val="24"/>
                <w:szCs w:val="24"/>
                <w:lang w:val="en-US"/>
              </w:rPr>
              <w:t>Hypohydration syndrome: types, causes, pathogenesis, clinical and pathophysiological manifestations, consequences, pathogenetic principles of correction.</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widowControl/>
              <w:spacing w:lineRule="auto" w:line="276"/>
              <w:jc w:val="both"/>
              <w:rPr>
                <w:lang w:val="en-US"/>
              </w:rPr>
            </w:pPr>
            <w:r>
              <w:rPr>
                <w:rFonts w:eastAsia="Calibri"/>
                <w:sz w:val="24"/>
                <w:szCs w:val="24"/>
                <w:lang w:val="en-US"/>
              </w:rPr>
              <w:t>Particularities of metabolism at alteration, physicochemical changes at alteration, their role in the pathogenesis of inflammation.</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pPr>
            <w:r>
              <w:rPr>
                <w:rFonts w:eastAsia="Calibri"/>
                <w:sz w:val="24"/>
                <w:szCs w:val="24"/>
                <w:lang w:val="en-US"/>
              </w:rPr>
              <w:t xml:space="preserve">Proliferation, its development mechanisms, stimulators and inhibitors of proliferation. </w:t>
            </w:r>
            <w:r>
              <w:rPr>
                <w:sz w:val="24"/>
                <w:szCs w:val="24"/>
                <w:lang w:val="en-US"/>
              </w:rPr>
              <w:t>Principles of anti-inflammatory therapy.</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pPr>
            <w:r>
              <w:rPr>
                <w:rFonts w:eastAsia="Calibri"/>
                <w:sz w:val="24"/>
                <w:szCs w:val="24"/>
                <w:lang w:val="en-US"/>
              </w:rPr>
              <w:t>Stages, and mechanisms of leukocytes emigration in inflammation.</w:t>
            </w:r>
            <w:r>
              <w:rPr>
                <w:rFonts w:eastAsia="Calibri"/>
                <w:sz w:val="36"/>
                <w:szCs w:val="36"/>
                <w:lang w:val="en-US"/>
              </w:rPr>
              <w:t xml:space="preserve"> </w:t>
            </w:r>
            <w:r>
              <w:rPr>
                <w:rFonts w:eastAsia="Calibri"/>
                <w:sz w:val="24"/>
                <w:szCs w:val="24"/>
                <w:lang w:val="en-US"/>
              </w:rPr>
              <w:t>Factors of chemotaxis.</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lang w:val="en-US"/>
              </w:rPr>
            </w:pPr>
            <w:r>
              <w:rPr>
                <w:rFonts w:eastAsia="Calibri"/>
                <w:sz w:val="24"/>
                <w:szCs w:val="24"/>
                <w:lang w:val="en-US"/>
              </w:rPr>
              <w:t>Impairment stages of peripheral blood circulation in the focus of inflammation and mechanisms of their development.</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pPr>
            <w:r>
              <w:rPr>
                <w:rFonts w:eastAsia="Calibri"/>
                <w:sz w:val="24"/>
                <w:szCs w:val="24"/>
                <w:lang w:val="en-US"/>
              </w:rPr>
              <w:t>Mediators of inflammation; their types, principles of classification, their origin and significance in the dynamics of development and completion of the inflammation. Interrelation of various mediators.</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pPr>
            <w:r>
              <w:rPr>
                <w:sz w:val="24"/>
                <w:szCs w:val="24"/>
                <w:lang w:val="en-US"/>
              </w:rPr>
              <w:t xml:space="preserve">Disorders of the final stages of protein metabolism, causes, consequences for the organism. </w:t>
            </w:r>
            <w:r>
              <w:rPr>
                <w:color w:val="000000"/>
                <w:sz w:val="24"/>
                <w:szCs w:val="24"/>
                <w:shd w:fill="FFFFFF" w:val="clear"/>
                <w:lang w:val="en-US"/>
              </w:rPr>
              <w:t>H</w:t>
            </w:r>
            <w:r>
              <w:rPr>
                <w:color w:val="000000"/>
                <w:sz w:val="24"/>
                <w:szCs w:val="24"/>
                <w:shd w:fill="FFFFFF" w:val="clear"/>
              </w:rPr>
              <w:t>yperazotemia</w:t>
            </w:r>
            <w:r>
              <w:rPr>
                <w:color w:val="000000"/>
                <w:sz w:val="24"/>
                <w:szCs w:val="24"/>
                <w:shd w:fill="FFFFFF" w:val="clear"/>
                <w:lang w:val="en-US"/>
              </w:rPr>
              <w:t>.</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lang w:val="en-US"/>
              </w:rPr>
            </w:pPr>
            <w:r>
              <w:rPr>
                <w:sz w:val="24"/>
                <w:szCs w:val="24"/>
                <w:lang w:val="en-US"/>
              </w:rPr>
              <w:t>Violations of metabolism of amino acids and amino acid composition of the blood, causes, consequences for the organism. balance.</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pPr>
            <w:r>
              <w:rPr>
                <w:rFonts w:eastAsia="Calibri"/>
                <w:sz w:val="24"/>
                <w:szCs w:val="24"/>
                <w:lang w:val="en-US"/>
              </w:rPr>
              <w:t>Etiology and pathogenesis of insulin-dependent (type 1) and non-insulin-dependent (type 2) diabetes mellitus. Mechanism of hyperglycemia in insulin deficiency</w:t>
            </w:r>
            <w:r>
              <w:rPr>
                <w:rFonts w:eastAsia="Calibri"/>
                <w:sz w:val="24"/>
                <w:szCs w:val="24"/>
              </w:rPr>
              <w:t>.</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lang w:val="en-US"/>
              </w:rPr>
            </w:pPr>
            <w:r>
              <w:rPr>
                <w:rFonts w:eastAsia="Calibri"/>
                <w:sz w:val="24"/>
                <w:szCs w:val="24"/>
                <w:lang w:val="en-US"/>
              </w:rPr>
              <w:t>Disorders of carbohydrate and other kinds of metabolism in diabetes, complications of diabetes.</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lang w:val="en-US"/>
              </w:rPr>
            </w:pPr>
            <w:r>
              <w:rPr>
                <w:sz w:val="24"/>
                <w:szCs w:val="24"/>
                <w:lang w:val="en-US"/>
              </w:rPr>
              <w:t>Hypoglycemic states, their types, mechanisms of development, disorders of physiological functions; hypoglycemic coma.</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pPr>
            <w:r>
              <w:rPr>
                <w:sz w:val="24"/>
                <w:szCs w:val="24"/>
                <w:lang w:val="en-US"/>
              </w:rPr>
              <w:t>Hyperglycemic conditions, their types, mechanisms of development. Pathogenetic significance of hyperglycemia.</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pPr>
            <w:r>
              <w:rPr>
                <w:sz w:val="24"/>
                <w:szCs w:val="24"/>
                <w:lang w:val="en-US"/>
              </w:rPr>
              <w:t>Pathology of digestion, transport and metabolism of fats. Hyperlipidemia types, causes, pathogenesis.</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lang w:val="en-US"/>
              </w:rPr>
            </w:pPr>
            <w:r>
              <w:rPr>
                <w:sz w:val="24"/>
                <w:szCs w:val="24"/>
                <w:lang w:val="en-US"/>
              </w:rPr>
              <w:t>Violations of protein digestion of food, positive and negative nitrogen balance.  Violations of the protein composition of blood plasma: hyper-, hypo- and dysproteinemia.</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lang w:val="en-US"/>
              </w:rPr>
            </w:pPr>
            <w:r>
              <w:rPr>
                <w:sz w:val="24"/>
                <w:szCs w:val="24"/>
                <w:lang w:val="en-US"/>
              </w:rPr>
              <w:t>Allergy: definition of the notion, etiology, stages.  Types of allergic reactions, their classification.</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Style22"/>
              <w:tabs>
                <w:tab w:val="clear" w:pos="708"/>
                <w:tab w:val="center" w:pos="709" w:leader="none"/>
              </w:tabs>
              <w:spacing w:lineRule="auto" w:line="276"/>
              <w:jc w:val="both"/>
              <w:rPr>
                <w:lang w:val="en-US"/>
              </w:rPr>
            </w:pPr>
            <w:r>
              <w:rPr>
                <w:sz w:val="24"/>
                <w:szCs w:val="24"/>
                <w:lang w:val="en-US"/>
              </w:rPr>
              <w:t>Type I allergic reaction (</w:t>
            </w:r>
            <w:r>
              <w:rPr>
                <w:bCs/>
                <w:color w:val="000000"/>
                <w:sz w:val="24"/>
                <w:szCs w:val="24"/>
                <w:shd w:fill="FFFFFF" w:val="clear"/>
                <w:lang w:val="en-US"/>
              </w:rPr>
              <w:t>anaphylactic</w:t>
            </w:r>
            <w:r>
              <w:rPr>
                <w:sz w:val="24"/>
                <w:szCs w:val="24"/>
                <w:lang w:val="en-US"/>
              </w:rPr>
              <w:t xml:space="preserve">), characteristics of allergens, stages, mediators, clinical forms.  </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Style22"/>
              <w:tabs>
                <w:tab w:val="clear" w:pos="708"/>
                <w:tab w:val="center" w:pos="709" w:leader="none"/>
              </w:tabs>
              <w:spacing w:lineRule="auto" w:line="276"/>
              <w:jc w:val="both"/>
              <w:rPr>
                <w:lang w:val="en-US"/>
              </w:rPr>
            </w:pPr>
            <w:r>
              <w:rPr>
                <w:sz w:val="24"/>
                <w:szCs w:val="24"/>
                <w:lang w:val="en-US"/>
              </w:rPr>
              <w:t>Type II allergic reaction (</w:t>
            </w:r>
            <w:r>
              <w:rPr>
                <w:bCs/>
                <w:color w:val="000000"/>
                <w:sz w:val="24"/>
                <w:szCs w:val="24"/>
                <w:shd w:fill="FFFFFF" w:val="clear"/>
                <w:lang w:val="en-US"/>
              </w:rPr>
              <w:t>cytotoxic</w:t>
            </w:r>
            <w:r>
              <w:rPr>
                <w:sz w:val="24"/>
                <w:szCs w:val="24"/>
                <w:lang w:val="en-US"/>
              </w:rPr>
              <w:t xml:space="preserve">), characteristics of allergens, stages, mediators, clinical forms.  </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Style22"/>
              <w:tabs>
                <w:tab w:val="clear" w:pos="708"/>
                <w:tab w:val="center" w:pos="709" w:leader="none"/>
              </w:tabs>
              <w:spacing w:lineRule="auto" w:line="276"/>
              <w:jc w:val="both"/>
              <w:rPr>
                <w:lang w:val="en-US"/>
              </w:rPr>
            </w:pPr>
            <w:r>
              <w:rPr>
                <w:sz w:val="24"/>
                <w:szCs w:val="24"/>
                <w:lang w:val="en-US"/>
              </w:rPr>
              <w:t>Type IV allergic reaction (</w:t>
            </w:r>
            <w:r>
              <w:rPr>
                <w:bCs/>
                <w:color w:val="000000"/>
                <w:sz w:val="24"/>
                <w:szCs w:val="24"/>
                <w:shd w:fill="FFFFFF" w:val="clear"/>
                <w:lang w:val="en-US"/>
              </w:rPr>
              <w:t>cell-mediated</w:t>
            </w:r>
            <w:r>
              <w:rPr>
                <w:sz w:val="24"/>
                <w:szCs w:val="24"/>
                <w:lang w:val="en-US"/>
              </w:rPr>
              <w:t>), characteristics of allergens, stages, mediators, clinical forms.</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Style22"/>
              <w:tabs>
                <w:tab w:val="clear" w:pos="708"/>
                <w:tab w:val="center" w:pos="709" w:leader="none"/>
              </w:tabs>
              <w:spacing w:lineRule="auto" w:line="276"/>
              <w:jc w:val="both"/>
              <w:rPr>
                <w:lang w:val="en-US"/>
              </w:rPr>
            </w:pPr>
            <w:r>
              <w:rPr>
                <w:sz w:val="24"/>
                <w:szCs w:val="24"/>
                <w:lang w:val="en-US"/>
              </w:rPr>
              <w:t>Autoallergy, etiology, pathogenesis, clinical forms.</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pPr>
            <w:r>
              <w:rPr>
                <w:sz w:val="24"/>
                <w:szCs w:val="24"/>
                <w:lang w:val="en-US"/>
              </w:rPr>
              <w:t xml:space="preserve">Primary immunodeficiencies, types, causes of development and manifestations (examples). </w:t>
            </w:r>
            <w:r>
              <w:rPr>
                <w:lang w:val="en-US"/>
              </w:rPr>
              <w:t xml:space="preserve"> </w:t>
            </w:r>
            <w:r>
              <w:rPr>
                <w:sz w:val="24"/>
                <w:szCs w:val="24"/>
                <w:lang w:val="en-US"/>
              </w:rPr>
              <w:t xml:space="preserve">The consequences for the </w:t>
            </w:r>
            <w:r>
              <w:rPr>
                <w:rFonts w:eastAsia="Calibri"/>
                <w:sz w:val="24"/>
                <w:szCs w:val="24"/>
                <w:lang w:val="en-US"/>
              </w:rPr>
              <w:t>organism.</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lang w:val="en-US"/>
              </w:rPr>
            </w:pPr>
            <w:r>
              <w:rPr>
                <w:rFonts w:eastAsia="Calibri"/>
                <w:sz w:val="24"/>
                <w:szCs w:val="24"/>
                <w:lang w:val="en-US"/>
              </w:rPr>
              <w:t xml:space="preserve">The definition of the notion «hypoxia». Principles of classification of hypoxic states.  Mechanisms of urgent and long-term adaptation to hypoxia. </w:t>
            </w:r>
            <w:r>
              <w:rPr>
                <w:lang w:val="en-US"/>
              </w:rPr>
              <w:t xml:space="preserve"> </w:t>
            </w:r>
            <w:r>
              <w:rPr>
                <w:rFonts w:eastAsia="Calibri"/>
                <w:sz w:val="24"/>
                <w:szCs w:val="24"/>
                <w:lang w:val="en-US"/>
              </w:rPr>
              <w:t>Stability of individual organs and tissues to hypoxia.</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lang w:val="en-US"/>
              </w:rPr>
            </w:pPr>
            <w:r>
              <w:rPr>
                <w:rFonts w:eastAsia="Calibri"/>
                <w:sz w:val="24"/>
                <w:szCs w:val="24"/>
                <w:lang w:val="en-US"/>
              </w:rPr>
              <w:t xml:space="preserve">Respiratory hypoxia, etiology, pathogenesis, functional-metabolic manifestations, changes of </w:t>
            </w:r>
            <w:r>
              <w:rPr>
                <w:sz w:val="24"/>
                <w:szCs w:val="24"/>
                <w:lang w:val="en-US"/>
              </w:rPr>
              <w:t>the arterial and venous</w:t>
            </w:r>
            <w:r>
              <w:rPr>
                <w:rFonts w:eastAsia="Calibri"/>
                <w:sz w:val="24"/>
                <w:szCs w:val="24"/>
                <w:lang w:val="en-US"/>
              </w:rPr>
              <w:t xml:space="preserve"> blood gas parameters</w:t>
            </w:r>
            <w:r>
              <w:rPr>
                <w:sz w:val="24"/>
                <w:szCs w:val="24"/>
                <w:lang w:val="en-US"/>
              </w:rPr>
              <w:t xml:space="preserve">. </w:t>
            </w:r>
            <w:r>
              <w:rPr>
                <w:rFonts w:eastAsia="Calibri"/>
                <w:sz w:val="36"/>
                <w:szCs w:val="36"/>
                <w:lang w:val="en-US"/>
              </w:rPr>
              <w:t xml:space="preserve"> </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lang w:val="en-US"/>
              </w:rPr>
            </w:pPr>
            <w:r>
              <w:rPr>
                <w:rFonts w:eastAsia="Calibri"/>
                <w:sz w:val="24"/>
                <w:szCs w:val="24"/>
                <w:lang w:val="en-US"/>
              </w:rPr>
              <w:t xml:space="preserve">Circulatory hypoxia, etiology, pathogenesis, functional-metabolic manifestations, changes of </w:t>
            </w:r>
            <w:r>
              <w:rPr>
                <w:sz w:val="24"/>
                <w:szCs w:val="24"/>
                <w:lang w:val="en-US"/>
              </w:rPr>
              <w:t>the arterial and venous</w:t>
            </w:r>
            <w:r>
              <w:rPr>
                <w:rFonts w:eastAsia="Calibri"/>
                <w:sz w:val="24"/>
                <w:szCs w:val="24"/>
                <w:lang w:val="en-US"/>
              </w:rPr>
              <w:t xml:space="preserve"> blood gas parameters</w:t>
            </w:r>
            <w:r>
              <w:rPr>
                <w:sz w:val="24"/>
                <w:szCs w:val="24"/>
                <w:lang w:val="en-US"/>
              </w:rPr>
              <w:t>.</w:t>
            </w:r>
          </w:p>
          <w:p>
            <w:pPr>
              <w:pStyle w:val="Normal"/>
              <w:spacing w:lineRule="auto" w:line="276"/>
              <w:jc w:val="both"/>
              <w:rPr>
                <w:lang w:val="en-US"/>
              </w:rPr>
            </w:pPr>
            <w:r>
              <w:rPr>
                <w:lang w:val="en-US"/>
              </w:rPr>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lang w:val="en-US"/>
              </w:rPr>
            </w:pPr>
            <w:r>
              <w:rPr>
                <w:rFonts w:eastAsia="Calibri"/>
                <w:sz w:val="24"/>
                <w:szCs w:val="24"/>
                <w:lang w:val="en-US"/>
              </w:rPr>
              <w:t xml:space="preserve">Exogenous hypoxia, </w:t>
            </w:r>
            <w:r>
              <w:rPr>
                <w:sz w:val="24"/>
                <w:szCs w:val="24"/>
                <w:lang w:val="en-US"/>
              </w:rPr>
              <w:t xml:space="preserve">types, </w:t>
            </w:r>
            <w:r>
              <w:rPr>
                <w:rFonts w:eastAsia="Calibri"/>
                <w:sz w:val="24"/>
                <w:szCs w:val="24"/>
                <w:lang w:val="en-US"/>
              </w:rPr>
              <w:t xml:space="preserve">etiology, pathogenesis, functional-metabolic manifestations, changes of </w:t>
            </w:r>
            <w:r>
              <w:rPr>
                <w:sz w:val="24"/>
                <w:szCs w:val="24"/>
                <w:lang w:val="en-US"/>
              </w:rPr>
              <w:t>the arterial and venous</w:t>
            </w:r>
            <w:r>
              <w:rPr>
                <w:rFonts w:eastAsia="Calibri"/>
                <w:sz w:val="24"/>
                <w:szCs w:val="24"/>
                <w:lang w:val="en-US"/>
              </w:rPr>
              <w:t xml:space="preserve"> blood gas parameters</w:t>
            </w:r>
            <w:r>
              <w:rPr>
                <w:sz w:val="24"/>
                <w:szCs w:val="24"/>
                <w:lang w:val="en-US"/>
              </w:rPr>
              <w:t>.</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lang w:val="en-US"/>
              </w:rPr>
            </w:pPr>
            <w:r>
              <w:rPr>
                <w:sz w:val="24"/>
                <w:szCs w:val="24"/>
                <w:lang w:val="en-US"/>
              </w:rPr>
              <w:t>Anem</w:t>
            </w:r>
            <w:r>
              <w:rPr>
                <w:sz w:val="24"/>
                <w:szCs w:val="24"/>
                <w:lang w:val="en"/>
              </w:rPr>
              <w:t>ic</w:t>
            </w:r>
            <w:r>
              <w:rPr>
                <w:rFonts w:eastAsia="Calibri"/>
                <w:sz w:val="24"/>
                <w:szCs w:val="24"/>
                <w:lang w:val="en-US"/>
              </w:rPr>
              <w:t xml:space="preserve"> hypoxia, etiology, pathogenesis, functional-metabolic manifestations, changes of </w:t>
            </w:r>
            <w:r>
              <w:rPr>
                <w:sz w:val="24"/>
                <w:szCs w:val="24"/>
                <w:lang w:val="en-US"/>
              </w:rPr>
              <w:t>the arterial and venous</w:t>
            </w:r>
            <w:r>
              <w:rPr>
                <w:rFonts w:eastAsia="Calibri"/>
                <w:sz w:val="24"/>
                <w:szCs w:val="24"/>
                <w:lang w:val="en-US"/>
              </w:rPr>
              <w:t xml:space="preserve"> blood gas parameters</w:t>
            </w:r>
            <w:r>
              <w:rPr>
                <w:sz w:val="24"/>
                <w:szCs w:val="24"/>
                <w:lang w:val="en-US"/>
              </w:rPr>
              <w:t>.</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lang w:val="en-US"/>
              </w:rPr>
            </w:pPr>
            <w:r>
              <w:rPr>
                <w:rFonts w:eastAsia="Calibri"/>
                <w:sz w:val="24"/>
                <w:szCs w:val="24"/>
                <w:lang w:val="en-US"/>
              </w:rPr>
              <w:t xml:space="preserve">Tissue hypoxia, etiology, pathogenesis, functional-metabolic manifestations, changes of </w:t>
            </w:r>
            <w:r>
              <w:rPr>
                <w:sz w:val="24"/>
                <w:szCs w:val="24"/>
                <w:lang w:val="en-US"/>
              </w:rPr>
              <w:t>the arterial and venous</w:t>
            </w:r>
            <w:r>
              <w:rPr>
                <w:rFonts w:eastAsia="Calibri"/>
                <w:sz w:val="24"/>
                <w:szCs w:val="24"/>
                <w:lang w:val="en-US"/>
              </w:rPr>
              <w:t xml:space="preserve"> blood gas parameters</w:t>
            </w:r>
            <w:r>
              <w:rPr>
                <w:sz w:val="24"/>
                <w:szCs w:val="24"/>
                <w:lang w:val="en-US"/>
              </w:rPr>
              <w:t>.</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lang w:val="en-US"/>
              </w:rPr>
            </w:pPr>
            <w:r>
              <w:rPr>
                <w:sz w:val="24"/>
                <w:szCs w:val="24"/>
                <w:lang w:val="en-US"/>
              </w:rPr>
              <w:t>The concept of "acute phase response" (APR). The main mediators of the APR, their origin and biological effects.</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lang w:val="en-US"/>
              </w:rPr>
            </w:pPr>
            <w:r>
              <w:rPr>
                <w:rFonts w:eastAsia="Calibri"/>
                <w:sz w:val="24"/>
                <w:szCs w:val="24"/>
                <w:lang w:val="en-US"/>
              </w:rPr>
              <w:t>Pyrogenic substances, their types,</w:t>
            </w:r>
            <w:r>
              <w:rPr>
                <w:lang w:val="en-US"/>
              </w:rPr>
              <w:t xml:space="preserve"> </w:t>
            </w:r>
            <w:r>
              <w:rPr>
                <w:rFonts w:eastAsia="Calibri"/>
                <w:sz w:val="24"/>
                <w:szCs w:val="24"/>
                <w:lang w:val="en-US"/>
              </w:rPr>
              <w:t>mechanism of action, mediators of  fever.</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pPr>
            <w:r>
              <w:rPr>
                <w:rFonts w:eastAsia="Calibri"/>
                <w:sz w:val="24"/>
                <w:szCs w:val="24"/>
                <w:lang w:val="en-US"/>
              </w:rPr>
              <w:t xml:space="preserve">Thermoregulation during various stages of fever. </w:t>
            </w:r>
            <w:r>
              <w:rPr>
                <w:lang w:val="en-US"/>
              </w:rPr>
              <w:t xml:space="preserve"> </w:t>
            </w:r>
            <w:r>
              <w:rPr>
                <w:rFonts w:eastAsia="Calibri"/>
                <w:sz w:val="24"/>
                <w:szCs w:val="24"/>
                <w:lang w:val="en-US"/>
              </w:rPr>
              <w:t xml:space="preserve"> Varieties of fever. Changes of metabolism, functions of systems and organs in fever.  General biological significance of fever.</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pPr>
            <w:r>
              <w:rPr>
                <w:sz w:val="24"/>
                <w:szCs w:val="24"/>
                <w:lang w:val="en-US"/>
              </w:rPr>
              <w:t xml:space="preserve">The concept of "hyperthermia", its types </w:t>
            </w:r>
            <w:r>
              <w:rPr>
                <w:rFonts w:eastAsia="Calibri"/>
                <w:sz w:val="24"/>
                <w:szCs w:val="24"/>
                <w:lang w:val="en-US"/>
              </w:rPr>
              <w:t>and mechanisms of development.  Basic distinction of fever from hyperthermia (overheating).</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pPr>
            <w:r>
              <w:rPr>
                <w:color w:val="000000"/>
                <w:sz w:val="24"/>
                <w:szCs w:val="24"/>
                <w:lang w:val="en-US"/>
              </w:rPr>
              <w:t>The concept of the</w:t>
            </w:r>
            <w:r>
              <w:rPr>
                <w:sz w:val="24"/>
                <w:szCs w:val="24"/>
                <w:lang w:val="en-US"/>
              </w:rPr>
              <w:t xml:space="preserve"> acid-base balance of the </w:t>
            </w:r>
            <w:r>
              <w:rPr>
                <w:rFonts w:eastAsia="Calibri"/>
                <w:sz w:val="24"/>
                <w:szCs w:val="24"/>
                <w:lang w:val="en-US"/>
              </w:rPr>
              <w:t xml:space="preserve">organism. </w:t>
            </w:r>
            <w:r>
              <w:rPr>
                <w:sz w:val="24"/>
                <w:szCs w:val="24"/>
                <w:lang w:val="en-US"/>
              </w:rPr>
              <w:t xml:space="preserve"> The role of buffer systems, kidneys, lungs, liver, and gastro-intestinal tract in the regulation of acid-base balance. </w:t>
            </w:r>
            <w:r>
              <w:rPr>
                <w:rFonts w:eastAsia="Calibri"/>
                <w:sz w:val="24"/>
                <w:szCs w:val="24"/>
                <w:lang w:val="en-US"/>
              </w:rPr>
              <w:t xml:space="preserve"> Basic laboratory estimation criteria of </w:t>
            </w:r>
            <w:r>
              <w:rPr>
                <w:sz w:val="24"/>
                <w:szCs w:val="24"/>
                <w:lang w:val="en-US"/>
              </w:rPr>
              <w:t>acid-base balance</w:t>
            </w:r>
            <w:r>
              <w:rPr>
                <w:rFonts w:eastAsia="Calibri"/>
                <w:sz w:val="24"/>
                <w:szCs w:val="24"/>
                <w:lang w:val="en-US"/>
              </w:rPr>
              <w:t xml:space="preserve"> impairments.</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lang w:val="en-US"/>
              </w:rPr>
            </w:pPr>
            <w:r>
              <w:rPr>
                <w:sz w:val="24"/>
                <w:szCs w:val="24"/>
                <w:lang w:val="en-US"/>
              </w:rPr>
              <w:t xml:space="preserve">Syndromes </w:t>
            </w:r>
            <w:r>
              <w:rPr>
                <w:rFonts w:eastAsia="Calibri"/>
                <w:sz w:val="24"/>
                <w:szCs w:val="24"/>
                <w:lang w:val="en-US"/>
              </w:rPr>
              <w:t xml:space="preserve">non-respiratory and </w:t>
            </w:r>
            <w:r>
              <w:rPr>
                <w:sz w:val="24"/>
                <w:szCs w:val="24"/>
                <w:lang w:val="en-US"/>
              </w:rPr>
              <w:t>respiratory</w:t>
            </w:r>
            <w:r>
              <w:rPr>
                <w:rFonts w:eastAsia="Calibri"/>
                <w:sz w:val="24"/>
                <w:szCs w:val="24"/>
                <w:lang w:val="en-US"/>
              </w:rPr>
              <w:t xml:space="preserve"> alkalosis, etiology, pathogenesis, parameters, mechanisms of compensation, changes in the function of organs and systems.</w:t>
            </w:r>
          </w:p>
        </w:tc>
      </w:tr>
      <w:tr>
        <w:trPr/>
        <w:tc>
          <w:tcPr>
            <w:tcW w:w="850" w:type="dxa"/>
            <w:tcBorders/>
            <w:shd w:color="auto" w:fill="auto" w:val="clear"/>
          </w:tcPr>
          <w:p>
            <w:pPr>
              <w:pStyle w:val="Normal"/>
              <w:numPr>
                <w:ilvl w:val="0"/>
                <w:numId w:val="1"/>
              </w:numPr>
              <w:snapToGrid w:val="false"/>
              <w:spacing w:lineRule="auto" w:line="276"/>
              <w:jc w:val="both"/>
              <w:rPr>
                <w:sz w:val="24"/>
                <w:szCs w:val="24"/>
                <w:lang w:val="en-US"/>
              </w:rPr>
            </w:pPr>
            <w:r>
              <w:rPr>
                <w:sz w:val="24"/>
                <w:szCs w:val="24"/>
                <w:lang w:val="en-US"/>
              </w:rPr>
            </w:r>
          </w:p>
        </w:tc>
        <w:tc>
          <w:tcPr>
            <w:tcW w:w="8623" w:type="dxa"/>
            <w:tcBorders/>
            <w:shd w:color="auto" w:fill="auto" w:val="clear"/>
          </w:tcPr>
          <w:p>
            <w:pPr>
              <w:pStyle w:val="Normal"/>
              <w:spacing w:lineRule="auto" w:line="276"/>
              <w:jc w:val="both"/>
              <w:rPr>
                <w:lang w:val="en-US"/>
              </w:rPr>
            </w:pPr>
            <w:r>
              <w:rPr>
                <w:sz w:val="24"/>
                <w:szCs w:val="24"/>
                <w:lang w:val="en-US"/>
              </w:rPr>
              <w:t xml:space="preserve">Syndromes </w:t>
            </w:r>
            <w:r>
              <w:rPr>
                <w:rFonts w:eastAsia="Calibri"/>
                <w:sz w:val="24"/>
                <w:szCs w:val="24"/>
                <w:lang w:val="en-US"/>
              </w:rPr>
              <w:t xml:space="preserve">non-respiratory and </w:t>
            </w:r>
            <w:r>
              <w:rPr>
                <w:sz w:val="24"/>
                <w:szCs w:val="24"/>
                <w:lang w:val="en-US"/>
              </w:rPr>
              <w:t>respiratory</w:t>
            </w:r>
            <w:r>
              <w:rPr>
                <w:rFonts w:eastAsia="Calibri"/>
                <w:sz w:val="24"/>
                <w:szCs w:val="24"/>
                <w:lang w:val="en-US"/>
              </w:rPr>
              <w:t xml:space="preserve"> acidosis, etiology, pathogenesis, parameters, mechanisms of compensation, changes in the function of organs and systems.</w:t>
            </w:r>
          </w:p>
        </w:tc>
      </w:tr>
    </w:tbl>
    <w:p>
      <w:pPr>
        <w:pStyle w:val="Normal"/>
        <w:widowControl/>
        <w:jc w:val="both"/>
        <w:rPr>
          <w:b/>
          <w:b/>
          <w:sz w:val="24"/>
          <w:szCs w:val="24"/>
          <w:lang w:val="en-US"/>
        </w:rPr>
      </w:pPr>
      <w:r>
        <w:rPr>
          <w:b/>
          <w:sz w:val="24"/>
          <w:szCs w:val="24"/>
          <w:lang w:val="en-US"/>
        </w:rPr>
      </w:r>
    </w:p>
    <w:p>
      <w:pPr>
        <w:pStyle w:val="Normal"/>
        <w:jc w:val="both"/>
        <w:rPr>
          <w:lang w:val="en-US"/>
        </w:rPr>
      </w:pPr>
      <w:r>
        <w:rPr>
          <w:lang w:val="en-US"/>
        </w:rPr>
      </w:r>
    </w:p>
    <w:p>
      <w:pPr>
        <w:pStyle w:val="Normal"/>
        <w:jc w:val="both"/>
        <w:rPr>
          <w:lang w:val="en-US"/>
        </w:rPr>
      </w:pPr>
      <w:r>
        <w:rPr>
          <w:lang w:val="en-US"/>
        </w:rPr>
      </w:r>
    </w:p>
    <w:tbl>
      <w:tblPr>
        <w:tblW w:w="9355" w:type="dxa"/>
        <w:jc w:val="left"/>
        <w:tblInd w:w="0" w:type="dxa"/>
        <w:tblCellMar>
          <w:top w:w="0" w:type="dxa"/>
          <w:left w:w="0" w:type="dxa"/>
          <w:bottom w:w="0" w:type="dxa"/>
          <w:right w:w="0" w:type="dxa"/>
        </w:tblCellMar>
      </w:tblPr>
      <w:tblGrid>
        <w:gridCol w:w="4677"/>
        <w:gridCol w:w="4677"/>
      </w:tblGrid>
      <w:tr>
        <w:trPr/>
        <w:tc>
          <w:tcPr>
            <w:tcW w:w="4677" w:type="dxa"/>
            <w:tcBorders/>
          </w:tcPr>
          <w:p>
            <w:pPr>
              <w:pStyle w:val="Normal"/>
              <w:jc w:val="both"/>
              <w:rPr>
                <w:lang w:val="en-US"/>
              </w:rPr>
            </w:pPr>
            <w:r>
              <w:rPr>
                <w:sz w:val="24"/>
                <w:szCs w:val="24"/>
                <w:lang w:val="en-US"/>
              </w:rPr>
              <w:t>The</w:t>
            </w:r>
            <w:r>
              <w:rPr>
                <w:b w:val="false"/>
                <w:bCs w:val="false"/>
                <w:sz w:val="24"/>
                <w:szCs w:val="24"/>
                <w:lang w:val="en-US"/>
              </w:rPr>
              <w:t xml:space="preserve"> questions</w:t>
            </w:r>
            <w:r>
              <w:rPr>
                <w:sz w:val="24"/>
                <w:szCs w:val="24"/>
                <w:lang w:val="en-US"/>
              </w:rPr>
              <w:t xml:space="preserve"> was constituted </w:t>
            </w:r>
          </w:p>
          <w:p>
            <w:pPr>
              <w:pStyle w:val="Normal"/>
              <w:jc w:val="both"/>
              <w:rPr>
                <w:lang w:val="en-US"/>
              </w:rPr>
            </w:pPr>
            <w:r>
              <w:rPr>
                <w:sz w:val="24"/>
                <w:szCs w:val="24"/>
                <w:lang w:val="en-US"/>
              </w:rPr>
              <w:t>by the docent</w:t>
            </w:r>
          </w:p>
        </w:tc>
        <w:tc>
          <w:tcPr>
            <w:tcW w:w="4677" w:type="dxa"/>
            <w:tcBorders/>
          </w:tcPr>
          <w:p>
            <w:pPr>
              <w:pStyle w:val="Style23"/>
              <w:jc w:val="both"/>
              <w:rPr/>
            </w:pPr>
            <w:r>
              <w:rPr/>
            </w:r>
          </w:p>
          <w:p>
            <w:pPr>
              <w:pStyle w:val="Normal"/>
              <w:jc w:val="right"/>
              <w:rPr>
                <w:lang w:val="en-US"/>
              </w:rPr>
            </w:pPr>
            <w:r>
              <w:rPr>
                <w:sz w:val="24"/>
                <w:szCs w:val="24"/>
                <w:lang w:val="en-US"/>
              </w:rPr>
              <w:t>D.A.Kseyko</w:t>
            </w:r>
          </w:p>
        </w:tc>
      </w:tr>
    </w:tbl>
    <w:p>
      <w:pPr>
        <w:pStyle w:val="Normal"/>
        <w:jc w:val="both"/>
        <w:rPr>
          <w:lang w:val="en-US"/>
        </w:rPr>
      </w:pPr>
      <w:r>
        <w:rPr/>
      </w:r>
    </w:p>
    <w:sectPr>
      <w:type w:val="nextPage"/>
      <w:pgSz w:w="11906" w:h="16838"/>
      <w:pgMar w:left="1152" w:right="9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50261"/>
    <w:pPr>
      <w:widowControl w:val="false"/>
      <w:bidi w:val="0"/>
      <w:spacing w:lineRule="auto" w:line="240" w:before="0" w:after="0"/>
      <w:jc w:val="left"/>
    </w:pPr>
    <w:rPr>
      <w:rFonts w:ascii="Times New Roman" w:hAnsi="Times New Roman" w:eastAsia="Times New Roman" w:cs="Times New Roman"/>
      <w:color w:val="auto"/>
      <w:kern w:val="0"/>
      <w:sz w:val="20"/>
      <w:szCs w:val="20"/>
      <w:lang w:val="ru-RU" w:eastAsia="zh-CN" w:bidi="ar-SA"/>
    </w:rPr>
  </w:style>
  <w:style w:type="character" w:styleId="DefaultParagraphFont" w:default="1">
    <w:name w:val="Default Paragraph Font"/>
    <w:uiPriority w:val="1"/>
    <w:semiHidden/>
    <w:unhideWhenUsed/>
    <w:qFormat/>
    <w:rPr/>
  </w:style>
  <w:style w:type="character" w:styleId="Style14" w:customStyle="1">
    <w:name w:val="Абзац списка Знак"/>
    <w:link w:val="a3"/>
    <w:uiPriority w:val="34"/>
    <w:qFormat/>
    <w:locked/>
    <w:rsid w:val="00d50261"/>
    <w:rPr>
      <w:rFonts w:ascii="Times New Roman" w:hAnsi="Times New Roman" w:eastAsia="Times New Roman" w:cs="Times New Roman"/>
      <w:sz w:val="20"/>
      <w:szCs w:val="20"/>
      <w:lang w:eastAsia="zh-CN"/>
    </w:rPr>
  </w:style>
  <w:style w:type="character" w:styleId="Appleconvertedspace" w:customStyle="1">
    <w:name w:val="apple-converted-space"/>
    <w:qFormat/>
    <w:rsid w:val="007e16ad"/>
    <w:rPr/>
  </w:style>
  <w:style w:type="character" w:styleId="Style15" w:customStyle="1">
    <w:name w:val="Нижний колонтитул Знак"/>
    <w:basedOn w:val="DefaultParagraphFont"/>
    <w:link w:val="a5"/>
    <w:qFormat/>
    <w:rsid w:val="007e16ad"/>
    <w:rPr>
      <w:rFonts w:ascii="Times New Roman" w:hAnsi="Times New Roman" w:eastAsia="Times New Roman" w:cs="Times New Roman"/>
      <w:sz w:val="20"/>
      <w:szCs w:val="20"/>
      <w:lang w:eastAsia="zh-CN"/>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ListParagraph">
    <w:name w:val="List Paragraph"/>
    <w:basedOn w:val="Normal"/>
    <w:link w:val="a4"/>
    <w:uiPriority w:val="34"/>
    <w:qFormat/>
    <w:rsid w:val="00d50261"/>
    <w:pPr>
      <w:spacing w:before="0" w:after="0"/>
      <w:ind w:left="720" w:hanging="0"/>
      <w:contextualSpacing/>
    </w:pPr>
    <w:rPr/>
  </w:style>
  <w:style w:type="paragraph" w:styleId="Style21">
    <w:name w:val="Верхний и нижний колонтитулы"/>
    <w:basedOn w:val="Normal"/>
    <w:qFormat/>
    <w:pPr/>
    <w:rPr/>
  </w:style>
  <w:style w:type="paragraph" w:styleId="Style22">
    <w:name w:val="Footer"/>
    <w:basedOn w:val="Normal"/>
    <w:link w:val="a6"/>
    <w:rsid w:val="007e16ad"/>
    <w:pPr/>
    <w:rPr/>
  </w:style>
  <w:style w:type="paragraph" w:styleId="Default" w:customStyle="1">
    <w:name w:val="Default"/>
    <w:qFormat/>
    <w:rsid w:val="007e16ad"/>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zh-CN" w:bidi="ar-SA"/>
    </w:rPr>
  </w:style>
  <w:style w:type="paragraph" w:styleId="Style23">
    <w:name w:val="Содержимое таблицы"/>
    <w:basedOn w:val="Normal"/>
    <w:qFormat/>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LibreOffice/6.4.0.3$Windows_x86 LibreOffice_project/b0a288ab3d2d4774cb44b62f04d5d28733ac6df8</Application>
  <Pages>3</Pages>
  <Words>917</Words>
  <Characters>6318</Characters>
  <CharactersWithSpaces>7156</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2021-11-29T02:55:00Z</dcterms:created>
  <dc:creator>DILYARA KSEYKO</dc:creator>
  <dc:description/>
  <dc:language>ru-RU</dc:language>
  <cp:lastModifiedBy/>
  <cp:lastPrinted>2022-12-01T08:28:25Z</cp:lastPrinted>
  <dcterms:modified xsi:type="dcterms:W3CDTF">2023-11-27T08:14:50Z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